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0" w:type="dxa"/>
        <w:tblInd w:w="-826" w:type="dxa"/>
        <w:tblCellMar>
          <w:left w:w="0" w:type="dxa"/>
          <w:right w:w="0" w:type="dxa"/>
        </w:tblCellMar>
        <w:tblLook w:val="04A0" w:firstRow="1" w:lastRow="0" w:firstColumn="1" w:lastColumn="0" w:noHBand="0" w:noVBand="1"/>
      </w:tblPr>
      <w:tblGrid>
        <w:gridCol w:w="4086"/>
        <w:gridCol w:w="12074"/>
      </w:tblGrid>
      <w:tr w:rsidR="005B1678" w:rsidRPr="005B1678" w:rsidTr="005A5655">
        <w:trPr>
          <w:trHeight w:val="726"/>
        </w:trPr>
        <w:tc>
          <w:tcPr>
            <w:tcW w:w="16160" w:type="dxa"/>
            <w:gridSpan w:val="2"/>
            <w:tcBorders>
              <w:top w:val="single" w:sz="8" w:space="0" w:color="F79646"/>
              <w:left w:val="single" w:sz="8" w:space="0" w:color="F79646"/>
              <w:bottom w:val="single" w:sz="8" w:space="0" w:color="F79646"/>
              <w:right w:val="single" w:sz="8" w:space="0" w:color="F79646"/>
            </w:tcBorders>
            <w:shd w:val="clear" w:color="auto" w:fill="B5FFFF"/>
            <w:tcMar>
              <w:top w:w="10" w:type="dxa"/>
              <w:left w:w="25" w:type="dxa"/>
              <w:bottom w:w="0" w:type="dxa"/>
              <w:right w:w="25" w:type="dxa"/>
            </w:tcMar>
            <w:hideMark/>
          </w:tcPr>
          <w:p w:rsidR="005B1678" w:rsidRPr="005B1678" w:rsidRDefault="005B1678" w:rsidP="005B1678">
            <w:pPr>
              <w:spacing w:after="0"/>
              <w:jc w:val="center"/>
              <w:rPr>
                <w:rFonts w:ascii="Arial" w:eastAsia="Times New Roman" w:hAnsi="Arial" w:cs="Arial"/>
                <w:sz w:val="36"/>
                <w:szCs w:val="36"/>
                <w:lang w:eastAsia="it-IT"/>
              </w:rPr>
            </w:pPr>
            <w:r w:rsidRPr="005B1678">
              <w:rPr>
                <w:rFonts w:ascii="Calibri" w:eastAsia="Calibri" w:hAnsi="Calibri" w:cs="Times New Roman"/>
                <w:b/>
                <w:bCs/>
                <w:color w:val="203F61"/>
                <w:kern w:val="24"/>
                <w:sz w:val="32"/>
                <w:szCs w:val="32"/>
                <w:lang w:eastAsia="it-IT"/>
              </w:rPr>
              <w:t xml:space="preserve">EURISTICHE UTILIZZATE PER L’INTERPRETAZIONE  E RISOLUZIONE DEI PROBLEMI GIUDIZIARI </w:t>
            </w:r>
          </w:p>
        </w:tc>
      </w:tr>
      <w:tr w:rsidR="005B1678" w:rsidRPr="005B1678" w:rsidTr="005A5655">
        <w:trPr>
          <w:trHeight w:val="512"/>
        </w:trPr>
        <w:tc>
          <w:tcPr>
            <w:tcW w:w="4086" w:type="dxa"/>
            <w:tcBorders>
              <w:top w:val="single" w:sz="8" w:space="0" w:color="F79646"/>
              <w:left w:val="single" w:sz="8" w:space="0" w:color="F79646"/>
              <w:bottom w:val="single" w:sz="8" w:space="0" w:color="F79646"/>
              <w:right w:val="single" w:sz="8" w:space="0" w:color="F79646"/>
            </w:tcBorders>
            <w:shd w:val="clear" w:color="auto" w:fill="5CADFF"/>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FFFFFF"/>
                <w:kern w:val="24"/>
                <w:sz w:val="36"/>
                <w:szCs w:val="36"/>
                <w:lang w:eastAsia="it-IT"/>
              </w:rPr>
              <w:t xml:space="preserve">  ARGOMENTO </w:t>
            </w:r>
          </w:p>
        </w:tc>
        <w:tc>
          <w:tcPr>
            <w:tcW w:w="12074" w:type="dxa"/>
            <w:tcBorders>
              <w:top w:val="single" w:sz="8" w:space="0" w:color="F79646"/>
              <w:left w:val="single" w:sz="8" w:space="0" w:color="F79646"/>
              <w:bottom w:val="single" w:sz="8" w:space="0" w:color="F79646"/>
              <w:right w:val="single" w:sz="8" w:space="0" w:color="F79646"/>
            </w:tcBorders>
            <w:shd w:val="clear" w:color="auto" w:fill="5CADFF"/>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FFFF00"/>
                <w:kern w:val="24"/>
                <w:sz w:val="36"/>
                <w:szCs w:val="36"/>
                <w:lang w:eastAsia="it-IT"/>
              </w:rPr>
              <w:t xml:space="preserve">  STRUTTURA </w:t>
            </w:r>
          </w:p>
        </w:tc>
      </w:tr>
      <w:tr w:rsidR="005B1678" w:rsidRPr="005B1678" w:rsidTr="005A5655">
        <w:trPr>
          <w:trHeight w:val="563"/>
        </w:trPr>
        <w:tc>
          <w:tcPr>
            <w:tcW w:w="4086" w:type="dxa"/>
            <w:tcBorders>
              <w:top w:val="single" w:sz="8" w:space="0" w:color="F79646"/>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A SIMILI</w:t>
            </w:r>
          </w:p>
        </w:tc>
        <w:tc>
          <w:tcPr>
            <w:tcW w:w="12074" w:type="dxa"/>
            <w:tcBorders>
              <w:top w:val="single" w:sz="8" w:space="0" w:color="F79646"/>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Si sceglie una soluzione perché la stessa soluzione è applicabile per casi analoghi </w:t>
            </w:r>
          </w:p>
        </w:tc>
      </w:tr>
      <w:tr w:rsidR="005B1678" w:rsidRPr="005B1678" w:rsidTr="005A5655">
        <w:trPr>
          <w:trHeight w:val="484"/>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A FORTIORI </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La soluzione scelta in un certo caso si impone al caso in esame con forza anche maggiore</w:t>
            </w:r>
          </w:p>
        </w:tc>
      </w:tr>
      <w:tr w:rsidR="005B1678" w:rsidRPr="005B1678" w:rsidTr="005A5655">
        <w:trPr>
          <w:trHeight w:val="705"/>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A MINORI AD MAIUS (a) </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Si applica in caso di prescrizioni negative (se è proibito ferire </w:t>
            </w:r>
            <w:r w:rsidRPr="005B1678">
              <w:rPr>
                <w:rFonts w:ascii="Calibri" w:eastAsia="Calibri" w:hAnsi="Calibri" w:cs="Times New Roman"/>
                <w:i/>
                <w:iCs/>
                <w:color w:val="FFFF00"/>
                <w:kern w:val="24"/>
                <w:sz w:val="28"/>
                <w:szCs w:val="28"/>
                <w:lang w:eastAsia="it-IT"/>
              </w:rPr>
              <w:t xml:space="preserve">a fortiori </w:t>
            </w:r>
            <w:r w:rsidRPr="005B1678">
              <w:rPr>
                <w:rFonts w:ascii="Calibri" w:eastAsia="Calibri" w:hAnsi="Calibri" w:cs="Times New Roman"/>
                <w:color w:val="FFFF00"/>
                <w:kern w:val="24"/>
                <w:sz w:val="28"/>
                <w:szCs w:val="28"/>
                <w:lang w:eastAsia="it-IT"/>
              </w:rPr>
              <w:t>lo è uccidere)</w:t>
            </w:r>
          </w:p>
        </w:tc>
      </w:tr>
      <w:tr w:rsidR="005B1678" w:rsidRPr="005B1678" w:rsidTr="005A5655">
        <w:trPr>
          <w:trHeight w:val="726"/>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A MINORI AD MINUS (b)</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Si applica in caso di prescrizioni positive (chi può vendere un immobile può </w:t>
            </w:r>
            <w:r w:rsidRPr="005B1678">
              <w:rPr>
                <w:rFonts w:ascii="Calibri" w:eastAsia="Calibri" w:hAnsi="Calibri" w:cs="Times New Roman"/>
                <w:i/>
                <w:iCs/>
                <w:color w:val="FFFF00"/>
                <w:kern w:val="24"/>
                <w:sz w:val="28"/>
                <w:szCs w:val="28"/>
                <w:lang w:eastAsia="it-IT"/>
              </w:rPr>
              <w:t xml:space="preserve">a fortiori </w:t>
            </w:r>
            <w:r w:rsidR="005A5655">
              <w:rPr>
                <w:rFonts w:ascii="Calibri" w:eastAsia="Calibri" w:hAnsi="Calibri" w:cs="Times New Roman"/>
                <w:color w:val="FFFF00"/>
                <w:kern w:val="24"/>
                <w:sz w:val="28"/>
                <w:szCs w:val="28"/>
                <w:lang w:eastAsia="it-IT"/>
              </w:rPr>
              <w:t xml:space="preserve">darlo in  </w:t>
            </w:r>
            <w:r w:rsidRPr="005B1678">
              <w:rPr>
                <w:rFonts w:ascii="Calibri" w:eastAsia="Calibri" w:hAnsi="Calibri" w:cs="Times New Roman"/>
                <w:color w:val="FFFF00"/>
                <w:kern w:val="24"/>
                <w:sz w:val="28"/>
                <w:szCs w:val="28"/>
                <w:lang w:eastAsia="it-IT"/>
              </w:rPr>
              <w:t>fitto)</w:t>
            </w:r>
          </w:p>
        </w:tc>
      </w:tr>
      <w:tr w:rsidR="005B1678" w:rsidRPr="005B1678" w:rsidTr="005A5655">
        <w:trPr>
          <w:trHeight w:val="726"/>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A CONTRARIO</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Un tipo di soluzione o di norma applicabile a certe fattispecie è inapplicabile a quella presenta </w:t>
            </w:r>
          </w:p>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data la differenza tra le due</w:t>
            </w:r>
          </w:p>
        </w:tc>
      </w:tr>
      <w:tr w:rsidR="005B1678" w:rsidRPr="005B1678" w:rsidTr="005A5655">
        <w:trPr>
          <w:trHeight w:val="559"/>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A COHERENTIA</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Si scarta ogni antinomia ritenendo che il legislatore si comporti sempre in modo ragionevole</w:t>
            </w:r>
          </w:p>
        </w:tc>
      </w:tr>
      <w:tr w:rsidR="005B1678" w:rsidRPr="005B1678" w:rsidTr="005A5655">
        <w:trPr>
          <w:trHeight w:val="726"/>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PSICOLOGICO </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Tende a fondare la soluzione del problema sulla ricerca della volontà  concreta del legislatore </w:t>
            </w:r>
          </w:p>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attraverso i lavori preparatori</w:t>
            </w:r>
          </w:p>
        </w:tc>
      </w:tr>
      <w:tr w:rsidR="005B1678" w:rsidRPr="005B1678" w:rsidTr="005A5655">
        <w:trPr>
          <w:trHeight w:val="726"/>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STORICO </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Presume una continuità d’indirizzo e resta quindi fedele ala soluzione che appare storicamente</w:t>
            </w:r>
          </w:p>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più accreditata</w:t>
            </w:r>
          </w:p>
        </w:tc>
      </w:tr>
      <w:tr w:rsidR="005B1678" w:rsidRPr="005B1678" w:rsidTr="005A5655">
        <w:trPr>
          <w:trHeight w:val="726"/>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REDUCTIO AD ABSURDUM</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Nella soluzione del problema  vengono scartate quelle ipotesi che potrebbero  portare a  </w:t>
            </w:r>
          </w:p>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soluzioni  illogiche e assurde (Apagogico) </w:t>
            </w:r>
          </w:p>
        </w:tc>
      </w:tr>
      <w:tr w:rsidR="005B1678" w:rsidRPr="005B1678" w:rsidTr="005A5655">
        <w:trPr>
          <w:trHeight w:val="726"/>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TELEOLOGICO </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Enfatizza  nella soluzione del problema lo scopo precipuo  che la legge si prefiggeva  secondo il </w:t>
            </w:r>
          </w:p>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suo significato letterale</w:t>
            </w:r>
          </w:p>
        </w:tc>
      </w:tr>
      <w:tr w:rsidR="005B1678" w:rsidRPr="005B1678" w:rsidTr="005A5655">
        <w:trPr>
          <w:trHeight w:val="514"/>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ECONOMICO </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Una soluzione viene scartata quando il legislatore accettandola appare ripetitivo o ridondante</w:t>
            </w:r>
          </w:p>
        </w:tc>
      </w:tr>
      <w:tr w:rsidR="005B1678" w:rsidRPr="005B1678" w:rsidTr="005A5655">
        <w:trPr>
          <w:trHeight w:val="581"/>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AD EXEMPLO</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Permette di risolvere il problema attraverso i precedenti giuridici  o la dottrina più autorevole</w:t>
            </w:r>
          </w:p>
        </w:tc>
      </w:tr>
      <w:tr w:rsidR="005B1678" w:rsidRPr="005B1678" w:rsidTr="005A5655">
        <w:trPr>
          <w:trHeight w:val="726"/>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SISTEMATICO </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Segue l’ipotesi che le norme abbiano reciprocamente una logica interna tale che devono essere</w:t>
            </w:r>
          </w:p>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interpretate in relazione al contesto in cui sono inserite</w:t>
            </w:r>
          </w:p>
        </w:tc>
      </w:tr>
      <w:tr w:rsidR="005B1678" w:rsidRPr="005B1678" w:rsidTr="005A5655">
        <w:trPr>
          <w:trHeight w:val="698"/>
        </w:trPr>
        <w:tc>
          <w:tcPr>
            <w:tcW w:w="4086" w:type="dxa"/>
            <w:tcBorders>
              <w:top w:val="single" w:sz="8" w:space="0" w:color="000000"/>
              <w:left w:val="single" w:sz="8" w:space="0" w:color="F79646"/>
              <w:bottom w:val="single" w:sz="8" w:space="0" w:color="000000"/>
              <w:right w:val="single" w:sz="8" w:space="0" w:color="F79646"/>
            </w:tcBorders>
            <w:shd w:val="clear" w:color="auto" w:fill="EAB200"/>
            <w:tcMar>
              <w:top w:w="10" w:type="dxa"/>
              <w:left w:w="25" w:type="dxa"/>
              <w:bottom w:w="0" w:type="dxa"/>
              <w:right w:w="25" w:type="dxa"/>
            </w:tcMar>
            <w:hideMark/>
          </w:tcPr>
          <w:p w:rsidR="005B1678" w:rsidRPr="005B1678" w:rsidRDefault="005B1678" w:rsidP="005B1678">
            <w:pPr>
              <w:spacing w:after="0"/>
              <w:rPr>
                <w:rFonts w:ascii="Arial" w:eastAsia="Times New Roman" w:hAnsi="Arial" w:cs="Arial"/>
                <w:sz w:val="36"/>
                <w:szCs w:val="36"/>
                <w:lang w:eastAsia="it-IT"/>
              </w:rPr>
            </w:pPr>
            <w:r w:rsidRPr="005B1678">
              <w:rPr>
                <w:rFonts w:ascii="Calibri" w:eastAsia="Calibri" w:hAnsi="Calibri" w:cs="Times New Roman"/>
                <w:b/>
                <w:bCs/>
                <w:color w:val="203F61"/>
                <w:kern w:val="24"/>
                <w:sz w:val="28"/>
                <w:szCs w:val="28"/>
                <w:lang w:eastAsia="it-IT"/>
              </w:rPr>
              <w:t xml:space="preserve">  NATURALISTA </w:t>
            </w:r>
          </w:p>
        </w:tc>
        <w:tc>
          <w:tcPr>
            <w:tcW w:w="12074" w:type="dxa"/>
            <w:tcBorders>
              <w:top w:val="single" w:sz="8" w:space="0" w:color="000000"/>
              <w:left w:val="single" w:sz="8" w:space="0" w:color="F79646"/>
              <w:bottom w:val="single" w:sz="8" w:space="0" w:color="000000"/>
              <w:right w:val="single" w:sz="8" w:space="0" w:color="F79646"/>
            </w:tcBorders>
            <w:shd w:val="clear" w:color="auto" w:fill="2B5481"/>
            <w:tcMar>
              <w:top w:w="10" w:type="dxa"/>
              <w:left w:w="25" w:type="dxa"/>
              <w:bottom w:w="0" w:type="dxa"/>
              <w:right w:w="25" w:type="dxa"/>
            </w:tcMar>
            <w:hideMark/>
          </w:tcPr>
          <w:p w:rsidR="005B1678" w:rsidRPr="005B1678" w:rsidRDefault="005B1678" w:rsidP="005B1678">
            <w:pPr>
              <w:spacing w:after="0"/>
              <w:jc w:val="both"/>
              <w:rPr>
                <w:rFonts w:ascii="Arial" w:eastAsia="Times New Roman" w:hAnsi="Arial" w:cs="Arial"/>
                <w:sz w:val="36"/>
                <w:szCs w:val="36"/>
                <w:lang w:eastAsia="it-IT"/>
              </w:rPr>
            </w:pPr>
            <w:r w:rsidRPr="005B1678">
              <w:rPr>
                <w:rFonts w:ascii="Calibri" w:eastAsia="Calibri" w:hAnsi="Calibri" w:cs="Times New Roman"/>
                <w:color w:val="FFFF00"/>
                <w:kern w:val="24"/>
                <w:sz w:val="28"/>
                <w:szCs w:val="28"/>
                <w:lang w:eastAsia="it-IT"/>
              </w:rPr>
              <w:t xml:space="preserve">  Una certa norma viene considerata inapplicabile perché vi ci si oppone la natura delle cose</w:t>
            </w:r>
          </w:p>
        </w:tc>
      </w:tr>
    </w:tbl>
    <w:p w:rsidR="006D2138" w:rsidRDefault="006D2138" w:rsidP="005A5655"/>
    <w:p w:rsidR="008C79E5" w:rsidRPr="008C79E5" w:rsidRDefault="008C79E5" w:rsidP="008C79E5">
      <w:pPr>
        <w:spacing w:after="0" w:line="240" w:lineRule="auto"/>
        <w:jc w:val="both"/>
        <w:rPr>
          <w:rFonts w:ascii="Times New Roman" w:eastAsia="Times New Roman" w:hAnsi="Times New Roman" w:cs="Times New Roman"/>
          <w:sz w:val="24"/>
          <w:szCs w:val="24"/>
          <w:lang w:eastAsia="it-IT"/>
        </w:rPr>
      </w:pPr>
      <w:bookmarkStart w:id="0" w:name="_GoBack"/>
      <w:bookmarkEnd w:id="0"/>
      <w:r w:rsidRPr="008C79E5">
        <w:rPr>
          <w:rFonts w:ascii="Cambria" w:eastAsiaTheme="minorEastAsia" w:hAnsi="Cambria"/>
          <w:color w:val="000000" w:themeColor="text1"/>
          <w:kern w:val="24"/>
          <w:sz w:val="36"/>
          <w:szCs w:val="36"/>
          <w:lang w:eastAsia="it-IT"/>
        </w:rPr>
        <w:t xml:space="preserve">Tizio, conduttore del secondo piano di una villetta sita in Taranto alla Via Oceano delle Tempeste n° 99, lamenta infiltrazioni di acqua dal soffitto del salone con danneggiamento del solaio, dei muri perimetrali,  di un tappeto e di un divano. </w:t>
      </w:r>
    </w:p>
    <w:p w:rsidR="008C79E5" w:rsidRPr="008C79E5" w:rsidRDefault="008C79E5" w:rsidP="008C79E5">
      <w:pPr>
        <w:spacing w:after="0" w:line="240" w:lineRule="auto"/>
        <w:jc w:val="both"/>
        <w:rPr>
          <w:rFonts w:ascii="Times New Roman" w:eastAsia="Times New Roman" w:hAnsi="Times New Roman" w:cs="Times New Roman"/>
          <w:sz w:val="24"/>
          <w:szCs w:val="24"/>
          <w:lang w:eastAsia="it-IT"/>
        </w:rPr>
      </w:pPr>
      <w:r w:rsidRPr="008C79E5">
        <w:rPr>
          <w:rFonts w:ascii="Cambria" w:eastAsiaTheme="minorEastAsia" w:hAnsi="Cambria"/>
          <w:color w:val="000000" w:themeColor="text1"/>
          <w:kern w:val="24"/>
          <w:sz w:val="36"/>
          <w:szCs w:val="36"/>
          <w:lang w:eastAsia="it-IT"/>
        </w:rPr>
        <w:t>Ha già comunicato l’inconveniente a Caio, proprietario dell’immobile e residente al primo piano dello stesso stabile, il quale gli ha risposto di rivolgersi alla sua compagnia assicuratrice “Vita Serena” spa, con la quale ha stipulato una polizza che prevede la risarcibilità dei danni derivanti da eventi atmosferici.</w:t>
      </w:r>
    </w:p>
    <w:p w:rsidR="008C79E5" w:rsidRPr="008C79E5" w:rsidRDefault="008C79E5" w:rsidP="008C79E5">
      <w:pPr>
        <w:spacing w:after="0" w:line="240" w:lineRule="auto"/>
        <w:jc w:val="both"/>
        <w:rPr>
          <w:rFonts w:ascii="Times New Roman" w:eastAsia="Times New Roman" w:hAnsi="Times New Roman" w:cs="Times New Roman"/>
          <w:sz w:val="24"/>
          <w:szCs w:val="24"/>
          <w:lang w:eastAsia="it-IT"/>
        </w:rPr>
      </w:pPr>
      <w:r w:rsidRPr="008C79E5">
        <w:rPr>
          <w:rFonts w:ascii="Cambria" w:eastAsiaTheme="minorEastAsia" w:hAnsi="Cambria"/>
          <w:color w:val="000000" w:themeColor="text1"/>
          <w:kern w:val="24"/>
          <w:sz w:val="36"/>
          <w:szCs w:val="36"/>
          <w:lang w:eastAsia="it-IT"/>
        </w:rPr>
        <w:t xml:space="preserve">Caio, nel dar comunicazione alla sua assicurazione, evidenziava che qualche mese prima, aveva fatto riparare il tetto dalla ditta FB, con sede in Massafra (TA) e che, durante i lavori, raffiche di vento e rovesci di pioggia, avevano  strappato il telone di copertura provvisoria del tetto, determinando l’allagamento del sottotetto. </w:t>
      </w:r>
    </w:p>
    <w:p w:rsidR="008C79E5" w:rsidRPr="008C79E5" w:rsidRDefault="008C79E5" w:rsidP="008C79E5">
      <w:pPr>
        <w:spacing w:after="0" w:line="240" w:lineRule="auto"/>
        <w:jc w:val="both"/>
        <w:rPr>
          <w:rFonts w:ascii="Times New Roman" w:eastAsia="Times New Roman" w:hAnsi="Times New Roman" w:cs="Times New Roman"/>
          <w:sz w:val="24"/>
          <w:szCs w:val="24"/>
          <w:lang w:eastAsia="it-IT"/>
        </w:rPr>
      </w:pPr>
      <w:r w:rsidRPr="008C79E5">
        <w:rPr>
          <w:rFonts w:ascii="Cambria" w:eastAsiaTheme="minorEastAsia" w:hAnsi="Cambria"/>
          <w:color w:val="000000" w:themeColor="text1"/>
          <w:kern w:val="24"/>
          <w:sz w:val="36"/>
          <w:szCs w:val="36"/>
          <w:lang w:eastAsia="it-IT"/>
        </w:rPr>
        <w:t>Tizio, nel frattempo, nella inerzia di  Caio, provvede alle riparazioni necessarie ed urgenti (bonificando l’umidità diffusa sul solaio e dei muri perimetrali).</w:t>
      </w:r>
    </w:p>
    <w:p w:rsidR="008C79E5" w:rsidRPr="008C79E5" w:rsidRDefault="008C79E5" w:rsidP="008C79E5">
      <w:pPr>
        <w:spacing w:after="0" w:line="240" w:lineRule="auto"/>
        <w:jc w:val="both"/>
        <w:rPr>
          <w:rFonts w:ascii="Times New Roman" w:eastAsia="Times New Roman" w:hAnsi="Times New Roman" w:cs="Times New Roman"/>
          <w:sz w:val="24"/>
          <w:szCs w:val="24"/>
          <w:lang w:eastAsia="it-IT"/>
        </w:rPr>
      </w:pPr>
      <w:r w:rsidRPr="008C79E5">
        <w:rPr>
          <w:rFonts w:ascii="Cambria" w:eastAsiaTheme="minorEastAsia" w:hAnsi="Cambria"/>
          <w:color w:val="000000" w:themeColor="text1"/>
          <w:kern w:val="24"/>
          <w:sz w:val="36"/>
          <w:szCs w:val="36"/>
          <w:lang w:eastAsia="it-IT"/>
        </w:rPr>
        <w:t xml:space="preserve">La Compagnia di Assicurazione “Vita Serena” spa nega di dover risarcire il danno in quanto le “condizioni di assicurazione”, al paragrafo “eventi atmosferici”, precisano che gli unici danni risarcibili sono quelli determinati da “uragano, bufera, tempesta, grandine, trombe d’aria, vento e cose da esso asportate, quando la violenza che caratterizza detti eventi sia riscontrabile, in zona, su una pluralità di enti.  </w:t>
      </w:r>
    </w:p>
    <w:p w:rsidR="008C79E5" w:rsidRPr="008C79E5" w:rsidRDefault="008C79E5" w:rsidP="008C79E5">
      <w:pPr>
        <w:spacing w:after="0" w:line="240" w:lineRule="auto"/>
        <w:jc w:val="both"/>
        <w:rPr>
          <w:rFonts w:ascii="Times New Roman" w:eastAsia="Times New Roman" w:hAnsi="Times New Roman" w:cs="Times New Roman"/>
          <w:sz w:val="24"/>
          <w:szCs w:val="24"/>
          <w:lang w:eastAsia="it-IT"/>
        </w:rPr>
      </w:pPr>
      <w:r w:rsidRPr="008C79E5">
        <w:rPr>
          <w:rFonts w:ascii="Cambria" w:eastAsiaTheme="minorEastAsia" w:hAnsi="Cambria"/>
          <w:color w:val="000000" w:themeColor="text1"/>
          <w:kern w:val="24"/>
          <w:sz w:val="36"/>
          <w:szCs w:val="36"/>
          <w:lang w:eastAsia="it-IT"/>
        </w:rPr>
        <w:t>Ad ogni buon conto, formula a  Tizio una proposta conciliativa, attraverso il pagamento di € 10.000,  che, tuttavia, rimane  lettera morta.</w:t>
      </w:r>
    </w:p>
    <w:p w:rsidR="008C79E5" w:rsidRPr="008C79E5" w:rsidRDefault="008C79E5" w:rsidP="008C79E5">
      <w:pPr>
        <w:spacing w:after="0" w:line="240" w:lineRule="auto"/>
        <w:jc w:val="both"/>
        <w:rPr>
          <w:rFonts w:ascii="Times New Roman" w:eastAsia="Times New Roman" w:hAnsi="Times New Roman" w:cs="Times New Roman"/>
          <w:sz w:val="24"/>
          <w:szCs w:val="24"/>
          <w:lang w:eastAsia="it-IT"/>
        </w:rPr>
      </w:pPr>
      <w:r w:rsidRPr="008C79E5">
        <w:rPr>
          <w:rFonts w:ascii="Cambria" w:eastAsiaTheme="minorEastAsia" w:hAnsi="Cambria"/>
          <w:color w:val="000000" w:themeColor="text1"/>
          <w:kern w:val="24"/>
          <w:sz w:val="36"/>
          <w:szCs w:val="36"/>
          <w:lang w:eastAsia="it-IT"/>
        </w:rPr>
        <w:t>La ditta FB nega ogni addebito precisando di aver adottato ogni cautela e che soltanto la forza degli eventi ha potuto produrre lo strappo del telo provvisorio e la produzione dei danni lamentati da Tizio.</w:t>
      </w:r>
    </w:p>
    <w:p w:rsidR="008C79E5" w:rsidRDefault="008C79E5" w:rsidP="005A5655"/>
    <w:sectPr w:rsidR="008C79E5" w:rsidSect="005A5655">
      <w:pgSz w:w="16838" w:h="11906" w:orient="landscape"/>
      <w:pgMar w:top="142" w:right="141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5B1678"/>
    <w:rsid w:val="005A5655"/>
    <w:rsid w:val="005B1678"/>
    <w:rsid w:val="006D2138"/>
    <w:rsid w:val="008C7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AFF8"/>
  <w15:docId w15:val="{9300CDC4-C10F-4FD5-85F4-C8C71A97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6D21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B167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561">
      <w:bodyDiv w:val="1"/>
      <w:marLeft w:val="0"/>
      <w:marRight w:val="0"/>
      <w:marTop w:val="0"/>
      <w:marBottom w:val="0"/>
      <w:divBdr>
        <w:top w:val="none" w:sz="0" w:space="0" w:color="auto"/>
        <w:left w:val="none" w:sz="0" w:space="0" w:color="auto"/>
        <w:bottom w:val="none" w:sz="0" w:space="0" w:color="auto"/>
        <w:right w:val="none" w:sz="0" w:space="0" w:color="auto"/>
      </w:divBdr>
    </w:div>
    <w:div w:id="1493983255">
      <w:bodyDiv w:val="1"/>
      <w:marLeft w:val="0"/>
      <w:marRight w:val="0"/>
      <w:marTop w:val="0"/>
      <w:marBottom w:val="0"/>
      <w:divBdr>
        <w:top w:val="none" w:sz="0" w:space="0" w:color="auto"/>
        <w:left w:val="none" w:sz="0" w:space="0" w:color="auto"/>
        <w:bottom w:val="none" w:sz="0" w:space="0" w:color="auto"/>
        <w:right w:val="none" w:sz="0" w:space="0" w:color="auto"/>
      </w:divBdr>
    </w:div>
    <w:div w:id="17883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09A6-8141-4345-A14F-289907DD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oravta</dc:creator>
  <cp:lastModifiedBy>Vincenzo Di Maggio</cp:lastModifiedBy>
  <cp:revision>3</cp:revision>
  <dcterms:created xsi:type="dcterms:W3CDTF">2013-06-03T14:19:00Z</dcterms:created>
  <dcterms:modified xsi:type="dcterms:W3CDTF">2017-01-12T14:10:00Z</dcterms:modified>
</cp:coreProperties>
</file>